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2731B67" w14:textId="4D7DB5CC">
      <w:pPr>
        <w:pStyle w:val="713"/>
        <w:pBdr/>
        <w:spacing/>
        <w:ind w:right="567"/>
        <w:jc w:val="both"/>
        <w:rPr>
          <w:sz w:val="24"/>
          <w:szCs w:val="24"/>
        </w:rPr>
      </w:pPr>
      <w:r/>
      <w:bookmarkStart w:id="0" w:name="_GoBack"/>
      <w:r/>
      <w:bookmarkEnd w:id="0"/>
      <w:r>
        <w:rPr>
          <w:rStyle w:val="714"/>
          <w:rFonts w:eastAsiaTheme="majorEastAsia"/>
          <w:b/>
          <w:sz w:val="24"/>
          <w:szCs w:val="24"/>
        </w:rPr>
        <w:t xml:space="preserve">ALLEGATO G</w:t>
      </w:r>
      <w:r>
        <w:rPr>
          <w:sz w:val="24"/>
          <w:szCs w:val="24"/>
        </w:rPr>
      </w:r>
    </w:p>
    <w:p w14:paraId="04EF011C" w14:textId="77777777">
      <w:pPr>
        <w:pStyle w:val="713"/>
        <w:pBdr/>
        <w:spacing/>
        <w:ind w:right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 w14:paraId="6CEE7913" w14:textId="77777777">
      <w:pPr>
        <w:pStyle w:val="713"/>
        <w:pBdr/>
        <w:spacing/>
        <w:ind w:right="567"/>
        <w:jc w:val="center"/>
        <w:rPr>
          <w:rStyle w:val="714"/>
          <w:rFonts w:eastAsiaTheme="majorEastAsia"/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DICHIARAZIONE </w:t>
      </w:r>
      <w:r>
        <w:rPr>
          <w:b/>
          <w:sz w:val="24"/>
          <w:szCs w:val="24"/>
        </w:rPr>
        <w:t xml:space="preserve">A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I FINI DELLA FRUIZIONE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 DELLE DEROGHE DI CUI A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L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L’ART. 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2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, COMMA 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6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,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 DEL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 CCNI</w:t>
      </w:r>
      <w:r>
        <w:rPr>
          <w:rStyle w:val="714"/>
          <w:rFonts w:eastAsiaTheme="majorEastAsia"/>
          <w:b/>
          <w:bCs/>
          <w:sz w:val="24"/>
          <w:szCs w:val="24"/>
        </w:rPr>
      </w:r>
    </w:p>
    <w:p w14:paraId="0629FAC8" w14:textId="13A7B5D5">
      <w:pPr>
        <w:pStyle w:val="713"/>
        <w:pBdr/>
        <w:spacing/>
        <w:ind w:right="567"/>
        <w:jc w:val="center"/>
        <w:rPr>
          <w:b/>
          <w:bCs/>
          <w:sz w:val="24"/>
          <w:szCs w:val="24"/>
        </w:rPr>
      </w:pPr>
      <w:r>
        <w:rPr>
          <w:rStyle w:val="714"/>
          <w:rFonts w:eastAsiaTheme="majorEastAsia"/>
          <w:b/>
          <w:bCs/>
          <w:sz w:val="24"/>
          <w:szCs w:val="24"/>
        </w:rPr>
        <w:t xml:space="preserve"> 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MOBILIT</w:t>
      </w:r>
      <w:r>
        <w:rPr>
          <w:rStyle w:val="714"/>
          <w:rFonts w:eastAsiaTheme="majorEastAsia"/>
          <w:b/>
          <w:bCs/>
          <w:caps/>
          <w:sz w:val="24"/>
          <w:szCs w:val="24"/>
        </w:rPr>
        <w:t xml:space="preserve">à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 A.S. 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20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02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5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/2</w:t>
      </w:r>
      <w:r>
        <w:rPr>
          <w:rStyle w:val="714"/>
          <w:rFonts w:eastAsiaTheme="majorEastAsia"/>
          <w:b/>
          <w:bCs/>
          <w:sz w:val="24"/>
          <w:szCs w:val="24"/>
        </w:rPr>
        <w:t xml:space="preserve">6</w:t>
      </w:r>
      <w:r>
        <w:rPr>
          <w:b/>
          <w:bCs/>
          <w:sz w:val="24"/>
          <w:szCs w:val="24"/>
        </w:rPr>
      </w:r>
    </w:p>
    <w:p w14:paraId="2400364F" w14:textId="77777777">
      <w:pPr>
        <w:pStyle w:val="713"/>
        <w:pBdr/>
        <w:spacing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 w14:paraId="050B0AAC" w14:textId="77777777">
      <w:pPr>
        <w:pStyle w:val="713"/>
        <w:pBdr/>
        <w:spacing/>
        <w:ind w:right="-1"/>
        <w:jc w:val="both"/>
        <w:rPr>
          <w:sz w:val="24"/>
          <w:szCs w:val="24"/>
        </w:rPr>
      </w:pPr>
      <w:r/>
      <w:bookmarkStart w:id="1" w:name="_Hlk190703609"/>
      <w:r/>
      <w:bookmarkStart w:id="2" w:name="_Hlk190703890"/>
      <w:r>
        <w:rPr>
          <w:sz w:val="24"/>
          <w:szCs w:val="24"/>
        </w:rPr>
        <w:t xml:space="preserve">I</w:t>
      </w:r>
      <w:r>
        <w:rPr>
          <w:sz w:val="24"/>
          <w:szCs w:val="24"/>
        </w:rPr>
        <w:t xml:space="preserve">l/</w:t>
      </w:r>
      <w:r>
        <w:rPr>
          <w:sz w:val="24"/>
          <w:szCs w:val="24"/>
        </w:rPr>
        <w:t xml:space="preserve">L</w:t>
      </w:r>
      <w:r>
        <w:rPr>
          <w:sz w:val="24"/>
          <w:szCs w:val="24"/>
        </w:rPr>
        <w:t xml:space="preserve">a sottoscritto/a </w:t>
      </w:r>
      <w:r>
        <w:rPr>
          <w:sz w:val="24"/>
          <w:szCs w:val="24"/>
        </w:rPr>
        <w:t xml:space="preserve">....</w:t>
      </w:r>
      <w:r>
        <w:rPr>
          <w:sz w:val="24"/>
          <w:szCs w:val="24"/>
        </w:rPr>
        <w:t xml:space="preserve">................................</w:t>
      </w:r>
      <w:r>
        <w:rPr>
          <w:sz w:val="24"/>
          <w:szCs w:val="24"/>
        </w:rPr>
        <w:t xml:space="preserve">................................................ (COGNOME) ...............................................</w:t>
      </w:r>
      <w:r>
        <w:rPr>
          <w:sz w:val="24"/>
          <w:szCs w:val="24"/>
        </w:rPr>
        <w:t xml:space="preserve">..................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NOME)</w:t>
      </w:r>
      <w:r>
        <w:rPr>
          <w:sz w:val="24"/>
          <w:szCs w:val="24"/>
        </w:rPr>
        <w:t xml:space="preserve">, </w:t>
      </w:r>
      <w:bookmarkEnd w:id="1"/>
      <w:r/>
      <w:bookmarkEnd w:id="2"/>
      <w:r>
        <w:rPr>
          <w:sz w:val="24"/>
          <w:szCs w:val="24"/>
        </w:rPr>
        <w:t xml:space="preserve">a</w:t>
      </w:r>
      <w:r>
        <w:rPr>
          <w:sz w:val="24"/>
          <w:szCs w:val="24"/>
        </w:rPr>
        <w:t xml:space="preserve">i sensi e per gli effetti degli articoli 46, 47, 48 del D.P.R. 28 dicembre 2000, n. 445, consapevole delle responsabilità penali connesse alla produzio</w:t>
      </w:r>
      <w:r>
        <w:rPr>
          <w:sz w:val="24"/>
          <w:szCs w:val="24"/>
        </w:rPr>
        <w:t xml:space="preserve">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>
        <w:rPr>
          <w:sz w:val="24"/>
          <w:szCs w:val="24"/>
        </w:rPr>
        <w:t xml:space="preserve"> dichiara:</w:t>
      </w:r>
      <w:r>
        <w:rPr>
          <w:sz w:val="24"/>
          <w:szCs w:val="24"/>
        </w:rPr>
      </w:r>
    </w:p>
    <w:p w14:paraId="137EA4CF" w14:textId="77777777">
      <w:pPr>
        <w:pStyle w:val="713"/>
        <w:pBdr/>
        <w:spacing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 w14:paraId="58702311" w14:textId="4FBF1190">
      <w:pPr>
        <w:pStyle w:val="708"/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>
        <w:rPr>
          <w:rFonts w:ascii="Times New Roman" w:hAnsi="Times New Roman" w:cs="Times New Roman"/>
          <w:sz w:val="24"/>
          <w:szCs w:val="24"/>
        </w:rPr>
        <w:t xml:space="preserve">sedici</w:t>
      </w:r>
      <w:r>
        <w:rPr>
          <w:rFonts w:ascii="Times New Roman" w:hAnsi="Times New Roman" w:cs="Times New Roman"/>
          <w:sz w:val="24"/>
          <w:szCs w:val="24"/>
        </w:rPr>
        <w:t xml:space="preserve"> anni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(ossia che compie i </w:t>
      </w:r>
      <w:r>
        <w:rPr>
          <w:rFonts w:ascii="Times New Roman" w:hAnsi="Times New Roman" w:cs="Times New Roman"/>
          <w:sz w:val="24"/>
          <w:szCs w:val="24"/>
        </w:rPr>
        <w:t xml:space="preserve">sedici</w:t>
      </w:r>
      <w:r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91468985"/>
      <w:r>
        <w:rPr>
          <w:rFonts w:ascii="Times New Roman" w:hAnsi="Times New Roman" w:cs="Times New Roman"/>
          <w:sz w:val="24"/>
          <w:szCs w:val="24"/>
        </w:rPr>
        <w:t xml:space="preserve">(*)</w:t>
      </w:r>
      <w:bookmarkEnd w:id="3"/>
      <w:r>
        <w:rPr>
          <w:rFonts w:ascii="Times New Roman" w:hAnsi="Times New Roman" w:cs="Times New Roman"/>
          <w:sz w:val="24"/>
          <w:szCs w:val="24"/>
        </w:rPr>
      </w:r>
    </w:p>
    <w:p w14:paraId="73F1C7FD" w14:textId="77777777">
      <w:pPr>
        <w:pStyle w:val="708"/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0A9F8738" w14:textId="700A2974">
      <w:pPr>
        <w:pStyle w:val="708"/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essere genito</w:t>
      </w:r>
      <w:r>
        <w:rPr>
          <w:rFonts w:ascii="Times New Roman" w:hAnsi="Times New Roman" w:cs="Times New Roman"/>
          <w:sz w:val="24"/>
          <w:szCs w:val="24"/>
        </w:rPr>
        <w:t xml:space="preserve">re</w:t>
      </w:r>
      <w:r>
        <w:rPr>
          <w:rFonts w:ascii="Times New Roman" w:hAnsi="Times New Roman" w:cs="Times New Roman"/>
          <w:sz w:val="24"/>
          <w:szCs w:val="24"/>
        </w:rPr>
        <w:t xml:space="preserve"> adottiv</w:t>
      </w:r>
      <w:r>
        <w:rPr>
          <w:rFonts w:ascii="Times New Roman" w:hAnsi="Times New Roman" w:cs="Times New Roman"/>
          <w:sz w:val="24"/>
          <w:szCs w:val="24"/>
        </w:rPr>
        <w:t xml:space="preserve"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</w:t>
      </w:r>
      <w:r>
        <w:rPr>
          <w:rFonts w:ascii="Times New Roman" w:hAnsi="Times New Roman" w:cs="Times New Roman"/>
          <w:sz w:val="24"/>
          <w:szCs w:val="24"/>
        </w:rPr>
        <w:t xml:space="preserve"> affidatari</w:t>
      </w:r>
      <w:r>
        <w:rPr>
          <w:rFonts w:ascii="Times New Roman" w:hAnsi="Times New Roman" w:cs="Times New Roman"/>
          <w:sz w:val="24"/>
          <w:szCs w:val="24"/>
        </w:rPr>
        <w:t xml:space="preserve"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minore</w:t>
      </w:r>
      <w:r>
        <w:rPr>
          <w:rFonts w:ascii="Times New Roman" w:hAnsi="Times New Roman" w:cs="Times New Roman"/>
          <w:sz w:val="24"/>
          <w:szCs w:val="24"/>
        </w:rPr>
        <w:t xml:space="preserve"> di qualsiasi età</w:t>
      </w:r>
      <w:r>
        <w:rPr>
          <w:rFonts w:ascii="Times New Roman" w:hAnsi="Times New Roman" w:cs="Times New Roman"/>
          <w:sz w:val="24"/>
          <w:szCs w:val="24"/>
        </w:rPr>
        <w:t xml:space="preserve">, entro </w:t>
      </w:r>
      <w:r>
        <w:rPr>
          <w:rFonts w:ascii="Times New Roman" w:hAnsi="Times New Roman" w:cs="Times New Roman"/>
          <w:sz w:val="24"/>
          <w:szCs w:val="24"/>
        </w:rPr>
        <w:t xml:space="preserve">sedici</w:t>
      </w:r>
      <w:r>
        <w:rPr>
          <w:rFonts w:ascii="Times New Roman" w:hAnsi="Times New Roman" w:cs="Times New Roman"/>
          <w:sz w:val="24"/>
          <w:szCs w:val="24"/>
        </w:rPr>
        <w:t xml:space="preserve"> anni dall'ingresso</w:t>
      </w:r>
      <w:r>
        <w:rPr>
          <w:rFonts w:ascii="Times New Roman" w:hAnsi="Times New Roman" w:cs="Times New Roman"/>
          <w:sz w:val="24"/>
          <w:szCs w:val="24"/>
        </w:rPr>
        <w:t xml:space="preserve"> del minore </w:t>
      </w:r>
      <w:r>
        <w:rPr>
          <w:rFonts w:ascii="Times New Roman" w:hAnsi="Times New Roman" w:cs="Times New Roman"/>
          <w:sz w:val="24"/>
          <w:szCs w:val="24"/>
        </w:rPr>
        <w:t xml:space="preserve">in famiglia, e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comunque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non oltre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 raggiungimento della maggiore età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(*)</w:t>
      </w:r>
      <w:r>
        <w:rPr>
          <w:rFonts w:ascii="Times New Roman" w:hAnsi="Times New Roman" w:cs="Times New Roman"/>
          <w:sz w:val="24"/>
          <w:szCs w:val="24"/>
        </w:rPr>
      </w:r>
    </w:p>
    <w:p w14:paraId="47D6BFB9" w14:textId="77777777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54647644" w14:textId="701298B2">
      <w:pPr>
        <w:pStyle w:val="708"/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trovarsi</w:t>
      </w:r>
      <w:r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febbraio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1992, n. 104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che il proprio comune di residenza è ________________________________ con iscrizione anagrafica dal __________________</w:t>
      </w:r>
      <w:r>
        <w:rPr>
          <w:rFonts w:ascii="Times New Roman" w:hAnsi="Times New Roman" w:cs="Times New Roman"/>
          <w:sz w:val="24"/>
          <w:szCs w:val="24"/>
        </w:rPr>
      </w:r>
    </w:p>
    <w:p w14:paraId="6C50AB42" w14:textId="77777777">
      <w:pPr>
        <w:pStyle w:val="708"/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7533EF1E" w14:textId="00B25EF1">
      <w:pPr>
        <w:pStyle w:val="708"/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essere </w:t>
      </w:r>
      <w:r>
        <w:rPr>
          <w:rFonts w:ascii="Times New Roman" w:hAnsi="Times New Roman" w:cs="Times New Roman"/>
          <w:sz w:val="24"/>
          <w:szCs w:val="24"/>
        </w:rPr>
        <w:t xml:space="preserve">soggetto che</w:t>
      </w:r>
      <w:r>
        <w:rPr>
          <w:rFonts w:ascii="Times New Roman" w:hAnsi="Times New Roman" w:cs="Times New Roman"/>
          <w:sz w:val="24"/>
          <w:szCs w:val="24"/>
        </w:rPr>
        <w:t xml:space="preserve"> fruisc</w:t>
      </w:r>
      <w:r>
        <w:rPr>
          <w:rFonts w:ascii="Times New Roman" w:hAnsi="Times New Roman" w:cs="Times New Roman"/>
          <w:sz w:val="24"/>
          <w:szCs w:val="24"/>
        </w:rPr>
        <w:t xml:space="preserve">e</w:t>
      </w:r>
      <w:r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>
        <w:rPr>
          <w:rFonts w:ascii="Times New Roman" w:hAnsi="Times New Roman" w:cs="Times New Roman"/>
          <w:sz w:val="24"/>
          <w:szCs w:val="24"/>
        </w:rPr>
        <w:t xml:space="preserve">26 marzo 2001, n. </w:t>
      </w:r>
      <w:r>
        <w:rPr>
          <w:rFonts w:ascii="Times New Roman" w:hAnsi="Times New Roman" w:cs="Times New Roman"/>
          <w:sz w:val="24"/>
          <w:szCs w:val="24"/>
        </w:rPr>
        <w:t xml:space="preserve">151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che rivest</w:t>
      </w:r>
      <w:r>
        <w:rPr>
          <w:rFonts w:ascii="Times New Roman" w:hAnsi="Times New Roman" w:cs="Times New Roman"/>
          <w:sz w:val="24"/>
          <w:szCs w:val="24"/>
        </w:rPr>
        <w:t xml:space="preserve">e</w:t>
      </w:r>
      <w:r>
        <w:rPr>
          <w:rFonts w:ascii="Times New Roman" w:hAnsi="Times New Roman" w:cs="Times New Roman"/>
          <w:sz w:val="24"/>
          <w:szCs w:val="24"/>
        </w:rPr>
        <w:t xml:space="preserve"> la qualità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(*)</w:t>
      </w:r>
      <w:r>
        <w:rPr>
          <w:rFonts w:ascii="Times New Roman" w:hAnsi="Times New Roman" w:cs="Times New Roman"/>
          <w:sz w:val="24"/>
          <w:szCs w:val="24"/>
        </w:rPr>
      </w:r>
    </w:p>
    <w:p w14:paraId="4964C9F0" w14:textId="2BD0CD2C">
      <w:pPr>
        <w:pStyle w:val="708"/>
        <w:numPr>
          <w:ilvl w:val="0"/>
          <w:numId w:val="5"/>
        </w:numPr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coniuge, parte di un’unione civile o convivente di fatto</w:t>
      </w:r>
      <w:r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>
        <w:rPr>
          <w:rFonts w:ascii="Times New Roman" w:hAnsi="Times New Roman" w:cs="Times New Roman"/>
          <w:sz w:val="24"/>
          <w:szCs w:val="24"/>
        </w:rPr>
        <w:t xml:space="preserve">, convivente di soggetto con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disabilità grave</w:t>
      </w:r>
      <w:r>
        <w:rPr>
          <w:rFonts w:ascii="Times New Roman" w:hAnsi="Times New Roman" w:cs="Times New Roman"/>
          <w:sz w:val="24"/>
          <w:szCs w:val="24"/>
        </w:rPr>
      </w:r>
    </w:p>
    <w:p w14:paraId="35DFD3C4" w14:textId="77777777">
      <w:pPr>
        <w:pStyle w:val="708"/>
        <w:numPr>
          <w:ilvl w:val="0"/>
          <w:numId w:val="5"/>
        </w:numPr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padre o madre anche adottivi o affidatari in caso di decesso, mancanza o in presenza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patologie invalidanti dei soggetti di cui al punto 1)</w:t>
      </w:r>
      <w:r>
        <w:rPr>
          <w:rFonts w:ascii="Times New Roman" w:hAnsi="Times New Roman" w:cs="Times New Roman"/>
          <w:sz w:val="24"/>
          <w:szCs w:val="24"/>
        </w:rPr>
      </w:r>
    </w:p>
    <w:p w14:paraId="5A064291" w14:textId="77777777">
      <w:pPr>
        <w:pStyle w:val="708"/>
        <w:numPr>
          <w:ilvl w:val="0"/>
          <w:numId w:val="5"/>
        </w:numPr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uno dei figli conviventi in caso di decesso, mancanza o in presenza di patologie invalidanti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dei soggetti di cui al punto 2</w:t>
      </w:r>
      <w:r>
        <w:rPr>
          <w:rFonts w:ascii="Times New Roman" w:hAnsi="Times New Roman" w:cs="Times New Roman"/>
          <w:sz w:val="24"/>
          <w:szCs w:val="24"/>
        </w:rPr>
      </w:r>
    </w:p>
    <w:p w14:paraId="53358C2A" w14:textId="77777777">
      <w:pPr>
        <w:pStyle w:val="708"/>
        <w:numPr>
          <w:ilvl w:val="0"/>
          <w:numId w:val="5"/>
        </w:numPr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uno dei fratelli o delle sorelle conviventi in caso di decesso, mancanza o in presenza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patologie invalidanti dei soggetti di cui al punto 3)</w:t>
      </w:r>
      <w:r>
        <w:rPr>
          <w:rFonts w:ascii="Times New Roman" w:hAnsi="Times New Roman" w:cs="Times New Roman"/>
          <w:sz w:val="24"/>
          <w:szCs w:val="24"/>
        </w:rPr>
      </w:r>
    </w:p>
    <w:p w14:paraId="6470C296" w14:textId="317E3EA2">
      <w:pPr>
        <w:pStyle w:val="708"/>
        <w:numPr>
          <w:ilvl w:val="0"/>
          <w:numId w:val="5"/>
        </w:numPr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parente o affine entro il terzo grado convivente in caso di decesso, mancanza o in presenza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patologie invalidanti dei soggetti di cui al punto 4)</w:t>
      </w:r>
      <w:r>
        <w:rPr>
          <w:rFonts w:ascii="Times New Roman" w:hAnsi="Times New Roman" w:cs="Times New Roman"/>
          <w:sz w:val="24"/>
          <w:szCs w:val="24"/>
        </w:rPr>
      </w:r>
    </w:p>
    <w:p w14:paraId="1CB5AD8E" w14:textId="77777777">
      <w:pPr>
        <w:pStyle w:val="708"/>
        <w:pBdr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4136797F" w14:textId="77777777">
      <w:pPr>
        <w:pStyle w:val="708"/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>
        <w:rPr>
          <w:rFonts w:ascii="Times New Roman" w:hAnsi="Times New Roman" w:cs="Times New Roman"/>
          <w:sz w:val="24"/>
          <w:szCs w:val="24"/>
        </w:rPr>
        <w:t xml:space="preserve">essere </w:t>
      </w:r>
      <w:r>
        <w:rPr>
          <w:rFonts w:ascii="Times New Roman" w:hAnsi="Times New Roman" w:cs="Times New Roman"/>
          <w:sz w:val="24"/>
          <w:szCs w:val="24"/>
        </w:rPr>
        <w:t xml:space="preserve">il coniuge o figlio di soggetto mutilato o invalido civile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cui all’art.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2, commi 2 e 3, della legge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 marzo 1971, 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(*)</w:t>
      </w:r>
      <w:r>
        <w:rPr>
          <w:rFonts w:ascii="Times New Roman" w:hAnsi="Times New Roman" w:cs="Times New Roman"/>
          <w:sz w:val="24"/>
          <w:szCs w:val="24"/>
        </w:rPr>
      </w:r>
    </w:p>
    <w:p w14:paraId="47E11558" w14:textId="4550CC1D">
      <w:pPr>
        <w:pStyle w:val="708"/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/>
      <w:bookmarkStart w:id="4" w:name="_Hlk190705042"/>
      <w:r/>
      <w:r>
        <w:rPr>
          <w:rFonts w:ascii="Times New Roman" w:hAnsi="Times New Roman" w:cs="Times New Roman"/>
          <w:sz w:val="24"/>
          <w:szCs w:val="24"/>
        </w:rPr>
      </w:r>
    </w:p>
    <w:p w14:paraId="497A669B" w14:textId="0C23E798">
      <w:pPr>
        <w:pStyle w:val="708"/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1ECAB1E9" w14:textId="0C5CCCCD">
      <w:pPr>
        <w:pBdr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(*) </w:t>
      </w:r>
      <w:r>
        <w:rPr>
          <w:rFonts w:ascii="Times New Roman" w:hAnsi="Times New Roman" w:cs="Times New Roman"/>
          <w:i/>
          <w:iCs/>
        </w:rPr>
        <w:t xml:space="preserve">Rendere anche la seguente dichiarazione:</w:t>
      </w:r>
      <w:r>
        <w:rPr>
          <w:rFonts w:ascii="Times New Roman" w:hAnsi="Times New Roman" w:cs="Times New Roman"/>
        </w:rPr>
      </w:r>
    </w:p>
    <w:p w14:paraId="29B63D71" w14:textId="77777777">
      <w:pPr>
        <w:pBdr/>
        <w:spacing w:after="0" w:line="240" w:lineRule="auto"/>
        <w: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bookmarkEnd w:id="4"/>
      <w:r>
        <w:rPr>
          <w:rFonts w:ascii="Times New Roman" w:hAnsi="Times New Roman" w:cs="Times New Roman"/>
        </w:rPr>
      </w:r>
    </w:p>
    <w:p w14:paraId="5593F740" w14:textId="53CF82BA">
      <w:pPr>
        <w:numPr>
          <w:ilvl w:val="0"/>
          <w:numId w:val="5"/>
        </w:numPr>
        <w:pBdr/>
        <w:spacing w:after="0" w:line="24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che</w:t>
      </w:r>
      <w:r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>
        <w:rPr>
          <w:rFonts w:ascii="Times New Roman" w:hAnsi="Times New Roman" w:cs="Times New Roman"/>
          <w:sz w:val="24"/>
          <w:szCs w:val="24"/>
        </w:rPr>
        <w:t xml:space="preserve">C</w:t>
      </w:r>
      <w:r>
        <w:rPr>
          <w:rFonts w:ascii="Times New Roman" w:hAnsi="Times New Roman" w:cs="Times New Roman"/>
          <w:sz w:val="24"/>
          <w:szCs w:val="24"/>
        </w:rPr>
        <w:t xml:space="preserve">omune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con iscrizione anagrafica</w:t>
      </w:r>
      <w:r>
        <w:rPr>
          <w:rFonts w:ascii="Times New Roman" w:hAnsi="Times New Roman" w:cs="Times New Roman"/>
          <w:sz w:val="24"/>
          <w:szCs w:val="24"/>
        </w:rPr>
        <w:t xml:space="preserve"> (**)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a</w:t>
      </w:r>
      <w:r>
        <w:rPr>
          <w:rFonts w:ascii="Times New Roman" w:hAnsi="Times New Roman" w:cs="Times New Roman"/>
          <w:sz w:val="24"/>
          <w:szCs w:val="24"/>
        </w:rPr>
        <w:t xml:space="preserve">l 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 w14:paraId="0A6E5B14" w14:textId="77777777">
      <w:pPr>
        <w:pBdr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526B2FB6" w14:textId="195EB223">
      <w:pPr>
        <w:pBdr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(**) </w:t>
      </w:r>
      <w:bookmarkStart w:id="5" w:name="_Hlk191634133"/>
      <w:r>
        <w:rPr>
          <w:rFonts w:ascii="Times New Roman" w:hAnsi="Times New Roman" w:cs="Times New Roman"/>
          <w:i/>
          <w:iCs/>
        </w:rPr>
        <w:t xml:space="preserve">Nel caso dei figli nati nei tre mesi antecedenti la data di pubblicazione dell’O.M. ma entro la scadenza dei termini per la presentazione della domanda di mobilità</w:t>
      </w:r>
      <w:bookmarkEnd w:id="5"/>
      <w:r>
        <w:rPr>
          <w:rFonts w:ascii="Times New Roman" w:hAnsi="Times New Roman" w:cs="Times New Roman"/>
          <w:i/>
          <w:iCs/>
        </w:rPr>
        <w:t xml:space="preserve">, si prescinde dalla dichiarazione sulla decorrenza dell’iscrizione anagrafica anteriore di almeno tre mesi rispetto alla data di pubblicazione dell’O.M.</w:t>
      </w:r>
      <w:r>
        <w:rPr>
          <w:rFonts w:ascii="Times New Roman" w:hAnsi="Times New Roman" w:cs="Times New Roman"/>
          <w:i/>
          <w:iCs/>
        </w:rPr>
      </w:r>
    </w:p>
    <w:p w14:paraId="12DCD5A2" w14:textId="77777777">
      <w:pPr>
        <w:pBdr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374F80BC" w14:textId="77777777">
      <w:pPr>
        <w:pBdr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 w14:paraId="3210AA05" w14:textId="39CB0191">
      <w:pPr>
        <w:pBdr/>
        <w:spacing w:after="0" w:line="240" w:lineRule="auto"/>
        <w: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h="16838" w:orient="portrait" w:w="11906"/>
      <w:pgMar w:top="720" w:right="720" w:bottom="720" w:left="72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5588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HAnsi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28B84499"/>
    <w:lvl w:ilvl="0">
      <w:isLgl w:val="false"/>
      <w:lvlJc w:val="left"/>
      <w:lvlText w:val=""/>
      <w:numFmt w:val="bullet"/>
      <w:pPr>
        <w:pBdr/>
        <w:spacing/>
        <w:ind w:hanging="360" w:left="720"/>
      </w:pPr>
      <w:rPr>
        <w:rFonts w:hint="default" w:ascii="Symbol" w:hAnsi="Symbol"/>
        <w:b/>
        <w:bCs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4D160BBE"/>
    <w:lvl w:ilvl="0">
      <w:isLgl w:val="false"/>
      <w:lvlJc w:val="left"/>
      <w:lvlText w:val="%1)"/>
      <w:numFmt w:val="decimal"/>
      <w:pPr>
        <w:pBdr/>
        <w:spacing/>
        <w:ind w:hanging="360" w:left="1069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3">
    <w:nsid w:val="4E3D3A8C"/>
    <w:lvl w:ilvl="0">
      <w:isLgl w:val="false"/>
      <w:lvlJc w:val="left"/>
      <w:lvlText w:val="%1)"/>
      <w:numFmt w:val="upp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nsid w:val="56647BD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HAnsi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681A08E7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HAnsi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6CD1550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 w:eastAsiaTheme="minorHAnsi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nsid w:val="73DC22B2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28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5f5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0e4f5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1c3e8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3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5be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1f0c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2de81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9edf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86d7f6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2ceee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e190d8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2d0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a9e2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b7ba6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3f1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1956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c0e4f5" w:themeFill="accent1" w:themeFillTint="34"/>
        <w:tcBorders/>
      </w:tcPr>
    </w:tblStylePr>
    <w:tblStylePr w:type="band2Horz">
      <w:rPr>
        <w:rFonts w:ascii="Arial" w:hAnsi="Arial"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ba6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Horz">
      <w:rPr>
        <w:rFonts w:ascii="Arial" w:hAnsi="Arial"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f3f1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Horz">
      <w:rPr>
        <w:rFonts w:ascii="Arial" w:hAnsi="Arial"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1956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Horz">
      <w:rPr>
        <w:rFonts w:ascii="Arial" w:hAnsi="Arial"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21b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8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8d45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8d45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86dc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86dc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8fd974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8fd974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384c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6521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0872d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9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52889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7992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ef2" w:themeFill="accent1" w:themeFillTint="40"/>
        <w:tcBorders/>
      </w:tcPr>
    </w:tblStylePr>
    <w:tblStylePr w:type="band2Horz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c384c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bcc" w:themeFill="accent2" w:themeFillTint="40"/>
        <w:tcBorders/>
      </w:tcPr>
    </w:tblStylePr>
    <w:tblStylePr w:type="band2Horz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6521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a" w:themeFill="accent3" w:themeFillTint="40"/>
        <w:tcBorders/>
      </w:tcPr>
    </w:tblStylePr>
    <w:tblStylePr w:type="band2Horz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0872d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d8ab9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fc2ea" w:themeFill="accent5" w:themeFillTint="40"/>
        <w:tcBorders/>
      </w:tcPr>
    </w:tblStylePr>
    <w:tblStylePr w:type="band2Horz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52889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fc5" w:themeFill="accent6" w:themeFillTint="40"/>
        <w:tcBorders/>
      </w:tcPr>
    </w:tblStylePr>
    <w:tblStylePr w:type="band2Horz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799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6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39b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3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2ab8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1f0c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4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9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2ceee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2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50">
    <w:name w:val="Heading 1 Char"/>
    <w:basedOn w:val="690"/>
    <w:link w:val="68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90"/>
    <w:link w:val="68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90"/>
    <w:link w:val="6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90"/>
    <w:link w:val="68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90"/>
    <w:link w:val="6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90"/>
    <w:link w:val="68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90"/>
    <w:link w:val="68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90"/>
    <w:link w:val="68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90"/>
    <w:link w:val="68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90"/>
    <w:link w:val="70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690"/>
    <w:link w:val="7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690"/>
    <w:link w:val="70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690"/>
    <w:link w:val="710"/>
    <w:uiPriority w:val="30"/>
    <w:pPr>
      <w:pBdr/>
      <w:spacing/>
      <w:ind/>
    </w:pPr>
    <w:rPr>
      <w:i/>
      <w:iCs/>
      <w:color w:val="0f4761" w:themeColor="accent1" w:themeShade="BF"/>
    </w:rPr>
  </w:style>
  <w:style w:type="paragraph" w:styleId="170">
    <w:name w:val="No Spacing"/>
    <w:basedOn w:val="680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90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90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0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90"/>
    <w:link w:val="176"/>
    <w:uiPriority w:val="99"/>
    <w:pPr>
      <w:pBdr/>
      <w:spacing/>
      <w:ind/>
    </w:pPr>
  </w:style>
  <w:style w:type="paragraph" w:styleId="178">
    <w:name w:val="Footer"/>
    <w:basedOn w:val="680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90"/>
    <w:link w:val="178"/>
    <w:uiPriority w:val="99"/>
    <w:pPr>
      <w:pBdr/>
      <w:spacing/>
      <w:ind/>
    </w:pPr>
  </w:style>
  <w:style w:type="paragraph" w:styleId="180">
    <w:name w:val="Caption"/>
    <w:basedOn w:val="680"/>
    <w:next w:val="68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80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9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9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0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9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9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9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0"/>
    <w:next w:val="680"/>
    <w:uiPriority w:val="39"/>
    <w:unhideWhenUsed/>
    <w:pPr>
      <w:pBdr/>
      <w:spacing w:after="100"/>
      <w:ind/>
    </w:pPr>
  </w:style>
  <w:style w:type="paragraph" w:styleId="190">
    <w:name w:val="toc 2"/>
    <w:basedOn w:val="680"/>
    <w:next w:val="680"/>
    <w:uiPriority w:val="39"/>
    <w:unhideWhenUsed/>
    <w:pPr>
      <w:pBdr/>
      <w:spacing w:after="100"/>
      <w:ind w:left="220"/>
    </w:pPr>
  </w:style>
  <w:style w:type="paragraph" w:styleId="191">
    <w:name w:val="toc 3"/>
    <w:basedOn w:val="680"/>
    <w:next w:val="680"/>
    <w:uiPriority w:val="39"/>
    <w:unhideWhenUsed/>
    <w:pPr>
      <w:pBdr/>
      <w:spacing w:after="100"/>
      <w:ind w:left="440"/>
    </w:pPr>
  </w:style>
  <w:style w:type="paragraph" w:styleId="192">
    <w:name w:val="toc 4"/>
    <w:basedOn w:val="680"/>
    <w:next w:val="680"/>
    <w:uiPriority w:val="39"/>
    <w:unhideWhenUsed/>
    <w:pPr>
      <w:pBdr/>
      <w:spacing w:after="100"/>
      <w:ind w:left="660"/>
    </w:pPr>
  </w:style>
  <w:style w:type="paragraph" w:styleId="193">
    <w:name w:val="toc 5"/>
    <w:basedOn w:val="680"/>
    <w:next w:val="680"/>
    <w:uiPriority w:val="39"/>
    <w:unhideWhenUsed/>
    <w:pPr>
      <w:pBdr/>
      <w:spacing w:after="100"/>
      <w:ind w:left="880"/>
    </w:pPr>
  </w:style>
  <w:style w:type="paragraph" w:styleId="194">
    <w:name w:val="toc 6"/>
    <w:basedOn w:val="680"/>
    <w:next w:val="680"/>
    <w:uiPriority w:val="39"/>
    <w:unhideWhenUsed/>
    <w:pPr>
      <w:pBdr/>
      <w:spacing w:after="100"/>
      <w:ind w:left="1100"/>
    </w:pPr>
  </w:style>
  <w:style w:type="paragraph" w:styleId="195">
    <w:name w:val="toc 7"/>
    <w:basedOn w:val="680"/>
    <w:next w:val="680"/>
    <w:uiPriority w:val="39"/>
    <w:unhideWhenUsed/>
    <w:pPr>
      <w:pBdr/>
      <w:spacing w:after="100"/>
      <w:ind w:left="1320"/>
    </w:pPr>
  </w:style>
  <w:style w:type="paragraph" w:styleId="196">
    <w:name w:val="toc 8"/>
    <w:basedOn w:val="680"/>
    <w:next w:val="680"/>
    <w:uiPriority w:val="39"/>
    <w:unhideWhenUsed/>
    <w:pPr>
      <w:pBdr/>
      <w:spacing w:after="100"/>
      <w:ind w:left="1540"/>
    </w:pPr>
  </w:style>
  <w:style w:type="paragraph" w:styleId="197">
    <w:name w:val="toc 9"/>
    <w:basedOn w:val="680"/>
    <w:next w:val="680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9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0"/>
    <w:next w:val="680"/>
    <w:uiPriority w:val="99"/>
    <w:unhideWhenUsed/>
    <w:pPr>
      <w:pBdr/>
      <w:spacing w:after="0" w:afterAutospacing="0"/>
      <w:ind/>
    </w:pPr>
  </w:style>
  <w:style w:type="paragraph" w:styleId="680" w:default="1">
    <w:name w:val="Normal"/>
    <w:qFormat/>
    <w:pPr>
      <w:pBdr/>
      <w:spacing/>
      <w:ind/>
    </w:pPr>
  </w:style>
  <w:style w:type="paragraph" w:styleId="681">
    <w:name w:val="Heading 1"/>
    <w:basedOn w:val="680"/>
    <w:next w:val="680"/>
    <w:link w:val="69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682">
    <w:name w:val="Heading 2"/>
    <w:basedOn w:val="680"/>
    <w:next w:val="680"/>
    <w:link w:val="694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683">
    <w:name w:val="Heading 3"/>
    <w:basedOn w:val="680"/>
    <w:next w:val="680"/>
    <w:link w:val="695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84">
    <w:name w:val="Heading 4"/>
    <w:basedOn w:val="680"/>
    <w:next w:val="680"/>
    <w:link w:val="696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685">
    <w:name w:val="Heading 5"/>
    <w:basedOn w:val="680"/>
    <w:next w:val="680"/>
    <w:link w:val="697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0f4761" w:themeColor="accent1" w:themeShade="BF"/>
    </w:rPr>
  </w:style>
  <w:style w:type="paragraph" w:styleId="686">
    <w:name w:val="Heading 6"/>
    <w:basedOn w:val="680"/>
    <w:next w:val="680"/>
    <w:link w:val="698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87">
    <w:name w:val="Heading 7"/>
    <w:basedOn w:val="680"/>
    <w:next w:val="680"/>
    <w:link w:val="699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688">
    <w:name w:val="Heading 8"/>
    <w:basedOn w:val="680"/>
    <w:next w:val="680"/>
    <w:link w:val="700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89">
    <w:name w:val="Heading 9"/>
    <w:basedOn w:val="680"/>
    <w:next w:val="680"/>
    <w:link w:val="701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690" w:default="1">
    <w:name w:val="Default Paragraph Font"/>
    <w:uiPriority w:val="1"/>
    <w:semiHidden/>
    <w:unhideWhenUsed/>
    <w:pPr>
      <w:pBdr/>
      <w:spacing/>
      <w:ind/>
    </w:pPr>
  </w:style>
  <w:style w:type="table" w:styleId="6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2" w:default="1">
    <w:name w:val="No List"/>
    <w:uiPriority w:val="99"/>
    <w:semiHidden/>
    <w:unhideWhenUsed/>
    <w:pPr>
      <w:pBdr/>
      <w:spacing/>
      <w:ind/>
    </w:pPr>
  </w:style>
  <w:style w:type="character" w:styleId="693" w:customStyle="1">
    <w:name w:val="Titolo 1 Carattere"/>
    <w:basedOn w:val="690"/>
    <w:link w:val="681"/>
    <w:uiPriority w:val="9"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694" w:customStyle="1">
    <w:name w:val="Titolo 2 Carattere"/>
    <w:basedOn w:val="690"/>
    <w:link w:val="682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695" w:customStyle="1">
    <w:name w:val="Titolo 3 Carattere"/>
    <w:basedOn w:val="690"/>
    <w:link w:val="683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696" w:customStyle="1">
    <w:name w:val="Titolo 4 Carattere"/>
    <w:basedOn w:val="690"/>
    <w:link w:val="684"/>
    <w:uiPriority w:val="9"/>
    <w:semiHidden/>
    <w:pPr>
      <w:pBdr/>
      <w:spacing/>
      <w:ind/>
    </w:pPr>
    <w:rPr>
      <w:rFonts w:eastAsiaTheme="majorEastAsia" w:cstheme="majorBidi"/>
      <w:i/>
      <w:iCs/>
      <w:color w:val="0f4761" w:themeColor="accent1" w:themeShade="BF"/>
    </w:rPr>
  </w:style>
  <w:style w:type="character" w:styleId="697" w:customStyle="1">
    <w:name w:val="Titolo 5 Carattere"/>
    <w:basedOn w:val="690"/>
    <w:link w:val="685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</w:rPr>
  </w:style>
  <w:style w:type="character" w:styleId="698" w:customStyle="1">
    <w:name w:val="Titolo 6 Carattere"/>
    <w:basedOn w:val="690"/>
    <w:link w:val="686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699" w:customStyle="1">
    <w:name w:val="Titolo 7 Carattere"/>
    <w:basedOn w:val="690"/>
    <w:link w:val="687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700" w:customStyle="1">
    <w:name w:val="Titolo 8 Carattere"/>
    <w:basedOn w:val="690"/>
    <w:link w:val="688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701" w:customStyle="1">
    <w:name w:val="Titolo 9 Carattere"/>
    <w:basedOn w:val="690"/>
    <w:link w:val="689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702">
    <w:name w:val="Title"/>
    <w:basedOn w:val="680"/>
    <w:next w:val="680"/>
    <w:link w:val="703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03" w:customStyle="1">
    <w:name w:val="Titolo Carattere"/>
    <w:basedOn w:val="690"/>
    <w:link w:val="70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704">
    <w:name w:val="Subtitle"/>
    <w:basedOn w:val="680"/>
    <w:next w:val="680"/>
    <w:link w:val="705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705" w:customStyle="1">
    <w:name w:val="Sottotitolo Carattere"/>
    <w:basedOn w:val="690"/>
    <w:link w:val="704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706">
    <w:name w:val="Quote"/>
    <w:basedOn w:val="680"/>
    <w:next w:val="680"/>
    <w:link w:val="70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707" w:customStyle="1">
    <w:name w:val="Citazione Carattere"/>
    <w:basedOn w:val="690"/>
    <w:link w:val="70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708">
    <w:name w:val="List Paragraph"/>
    <w:basedOn w:val="680"/>
    <w:uiPriority w:val="34"/>
    <w:qFormat/>
    <w:pPr>
      <w:pBdr/>
      <w:spacing/>
      <w:ind w:left="720"/>
      <w:contextualSpacing w:val="true"/>
    </w:pPr>
  </w:style>
  <w:style w:type="character" w:styleId="709">
    <w:name w:val="Intense Emphasis"/>
    <w:basedOn w:val="6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710">
    <w:name w:val="Intense Quote"/>
    <w:basedOn w:val="680"/>
    <w:next w:val="680"/>
    <w:link w:val="71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711" w:customStyle="1">
    <w:name w:val="Citazione intensa Carattere"/>
    <w:basedOn w:val="690"/>
    <w:link w:val="7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2">
    <w:name w:val="Intense Reference"/>
    <w:basedOn w:val="6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713" w:customStyle="1">
    <w:name w:val="Normale1"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it-IT"/>
      <w14:ligatures w14:val="none"/>
    </w:rPr>
  </w:style>
  <w:style w:type="character" w:styleId="714" w:customStyle="1">
    <w:name w:val="Car. predefinito paragrafo1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MIUR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Mannozzi Catia</dc:creator>
  <cp:revision>3</cp:revision>
  <dcterms:created xsi:type="dcterms:W3CDTF">2025-03-06T09:08:00Z</dcterms:created>
  <dcterms:modified xsi:type="dcterms:W3CDTF">2026-03-17T09:35:38Z</dcterms:modified>
</cp:coreProperties>
</file>